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0B1D0A8A" w:rsidR="00B85C67" w:rsidRDefault="00594DD0" w:rsidP="00B85C67">
      <w:pPr>
        <w:rPr>
          <w:rFonts w:eastAsia="Times New Roman"/>
        </w:rPr>
      </w:pPr>
      <w:r>
        <w:rPr>
          <w:rFonts w:ascii="Arial" w:hAnsi="Arial" w:cs="Arial"/>
          <w:b/>
          <w:bCs/>
          <w:sz w:val="20"/>
          <w:szCs w:val="20"/>
        </w:rPr>
        <w:t xml:space="preserve">3GPP TSG RAN WG1 Meeting </w:t>
      </w:r>
      <w:r w:rsidR="001B2D32">
        <w:rPr>
          <w:rFonts w:ascii="Arial" w:hAnsi="Arial" w:cs="Arial"/>
          <w:b/>
          <w:bCs/>
          <w:sz w:val="20"/>
          <w:szCs w:val="20"/>
        </w:rPr>
        <w:t>#</w:t>
      </w:r>
      <w:r w:rsidR="00A91F87">
        <w:rPr>
          <w:rFonts w:ascii="Arial" w:hAnsi="Arial" w:cs="Arial"/>
          <w:b/>
          <w:bCs/>
          <w:sz w:val="20"/>
          <w:szCs w:val="20"/>
        </w:rPr>
        <w:t>93</w:t>
      </w:r>
      <w:r w:rsidR="00B11415" w:rsidRPr="00B11415">
        <w:rPr>
          <w:rFonts w:ascii="Arial" w:hAnsi="Arial" w:cs="Arial"/>
          <w:b/>
          <w:bCs/>
          <w:sz w:val="20"/>
          <w:szCs w:val="20"/>
        </w:rPr>
        <w:t xml:space="preserve"> </w:t>
      </w:r>
      <w:r w:rsidR="00B11415" w:rsidRPr="00B11415">
        <w:rPr>
          <w:rFonts w:ascii="Arial" w:eastAsia="MS Mincho" w:hAnsi="Arial" w:cs="Arial"/>
          <w:b/>
          <w:bCs/>
          <w:sz w:val="20"/>
          <w:szCs w:val="20"/>
          <w:lang w:eastAsia="ja-JP"/>
        </w:rPr>
        <w:tab/>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R1-180</w:t>
      </w:r>
      <w:r w:rsidR="00A91F87">
        <w:rPr>
          <w:rFonts w:ascii="Arial" w:hAnsi="Arial" w:cs="Arial"/>
          <w:b/>
          <w:bCs/>
          <w:sz w:val="20"/>
          <w:szCs w:val="20"/>
        </w:rPr>
        <w:t>7002</w:t>
      </w:r>
    </w:p>
    <w:p w14:paraId="2A527F7E" w14:textId="2B5E736B" w:rsidR="00B11415" w:rsidRPr="00B11415" w:rsidRDefault="00A91F87"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Busan</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Korea</w:t>
      </w:r>
      <w:r w:rsidR="00B11415" w:rsidRPr="00B11415">
        <w:rPr>
          <w:rFonts w:ascii="Arial" w:eastAsia="MS Mincho" w:hAnsi="Arial" w:cs="Arial"/>
          <w:b/>
          <w:bCs/>
          <w:sz w:val="20"/>
          <w:szCs w:val="20"/>
          <w:lang w:eastAsia="ja-JP"/>
        </w:rPr>
        <w:t xml:space="preserve">, </w:t>
      </w:r>
      <w:r>
        <w:rPr>
          <w:rFonts w:ascii="Arial" w:eastAsia="MS Mincho" w:hAnsi="Arial" w:cs="Arial"/>
          <w:b/>
          <w:bCs/>
          <w:sz w:val="20"/>
          <w:szCs w:val="20"/>
          <w:lang w:eastAsia="ja-JP"/>
        </w:rPr>
        <w:t>May</w:t>
      </w:r>
      <w:r w:rsidR="009A162F">
        <w:rPr>
          <w:rFonts w:ascii="Arial" w:eastAsia="MS Mincho" w:hAnsi="Arial" w:cs="Arial"/>
          <w:b/>
          <w:bCs/>
          <w:sz w:val="20"/>
          <w:szCs w:val="20"/>
          <w:lang w:eastAsia="ja-JP"/>
        </w:rPr>
        <w:t xml:space="preserve"> </w:t>
      </w:r>
      <w:r>
        <w:rPr>
          <w:rFonts w:ascii="Arial" w:eastAsia="MS Mincho" w:hAnsi="Arial" w:cs="Arial"/>
          <w:b/>
          <w:bCs/>
          <w:sz w:val="20"/>
          <w:szCs w:val="20"/>
          <w:lang w:eastAsia="ja-JP"/>
        </w:rPr>
        <w:t>21</w:t>
      </w:r>
      <w:r w:rsidRPr="00A91F87">
        <w:rPr>
          <w:rFonts w:ascii="Arial" w:eastAsia="MS Mincho" w:hAnsi="Arial" w:cs="Arial"/>
          <w:b/>
          <w:bCs/>
          <w:sz w:val="20"/>
          <w:szCs w:val="20"/>
          <w:vertAlign w:val="superscript"/>
          <w:lang w:eastAsia="ja-JP"/>
        </w:rPr>
        <w:t>st</w:t>
      </w:r>
      <w:r>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sidR="009A162F">
        <w:rPr>
          <w:rFonts w:ascii="Arial" w:eastAsia="MS Mincho" w:hAnsi="Arial" w:cs="Arial"/>
          <w:b/>
          <w:bCs/>
          <w:sz w:val="20"/>
          <w:szCs w:val="20"/>
          <w:lang w:eastAsia="ja-JP"/>
        </w:rPr>
        <w:t>2</w:t>
      </w:r>
      <w:r>
        <w:rPr>
          <w:rFonts w:ascii="Arial" w:eastAsia="MS Mincho" w:hAnsi="Arial" w:cs="Arial"/>
          <w:b/>
          <w:bCs/>
          <w:sz w:val="20"/>
          <w:szCs w:val="20"/>
          <w:lang w:eastAsia="ja-JP"/>
        </w:rPr>
        <w:t>5</w:t>
      </w:r>
      <w:r w:rsidR="009A162F" w:rsidRPr="009A162F">
        <w:rPr>
          <w:rFonts w:ascii="Arial" w:eastAsia="MS Mincho" w:hAnsi="Arial" w:cs="Arial"/>
          <w:b/>
          <w:bCs/>
          <w:sz w:val="20"/>
          <w:szCs w:val="20"/>
          <w:vertAlign w:val="superscript"/>
          <w:lang w:eastAsia="ja-JP"/>
        </w:rPr>
        <w:t>th</w:t>
      </w:r>
      <w:r w:rsidR="00594DD0">
        <w:rPr>
          <w:rFonts w:ascii="Arial" w:eastAsia="MS Mincho" w:hAnsi="Arial" w:cs="Arial"/>
          <w:b/>
          <w:bCs/>
          <w:sz w:val="20"/>
          <w:szCs w:val="20"/>
          <w:lang w:eastAsia="ja-JP"/>
        </w:rPr>
        <w:t>, 2018</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2515AC22"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3F2D64">
        <w:rPr>
          <w:sz w:val="22"/>
          <w:szCs w:val="22"/>
        </w:rPr>
        <w:t>6.3</w:t>
      </w:r>
      <w:r w:rsidR="00A91F87">
        <w:rPr>
          <w:sz w:val="22"/>
          <w:szCs w:val="22"/>
        </w:rPr>
        <w:t>.2</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4976A509" w:rsidR="008E401E" w:rsidRDefault="003D3C45" w:rsidP="00311702">
      <w:pPr>
        <w:pStyle w:val="3GPPHeader"/>
        <w:rPr>
          <w:sz w:val="22"/>
          <w:szCs w:val="22"/>
        </w:rPr>
      </w:pPr>
      <w:r w:rsidRPr="00315C6E">
        <w:rPr>
          <w:sz w:val="22"/>
          <w:szCs w:val="22"/>
        </w:rPr>
        <w:t>Title:</w:t>
      </w:r>
      <w:r w:rsidR="00E90E49" w:rsidRPr="00315C6E">
        <w:rPr>
          <w:sz w:val="22"/>
          <w:szCs w:val="22"/>
        </w:rPr>
        <w:tab/>
      </w:r>
      <w:r w:rsidR="00B01D07">
        <w:rPr>
          <w:sz w:val="22"/>
          <w:szCs w:val="22"/>
        </w:rPr>
        <w:t xml:space="preserve">NR Unlicensed </w:t>
      </w:r>
      <w:r w:rsidR="003F2D64">
        <w:rPr>
          <w:sz w:val="22"/>
          <w:szCs w:val="22"/>
        </w:rPr>
        <w:t xml:space="preserve">Physical Channel Design </w:t>
      </w:r>
      <w:r w:rsidR="00B01D07">
        <w:rPr>
          <w:sz w:val="22"/>
          <w:szCs w:val="22"/>
        </w:rPr>
        <w:t>Considerations</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r w:rsidRPr="00315C6E">
        <w:t>Introduction</w:t>
      </w:r>
    </w:p>
    <w:p w14:paraId="00D5796C" w14:textId="74009239" w:rsidR="00380D0E" w:rsidRDefault="00380D0E" w:rsidP="00380D0E">
      <w:pPr>
        <w:jc w:val="both"/>
      </w:pPr>
      <w:r>
        <w:t>LTE based unlicensed operation</w:t>
      </w:r>
      <w:r w:rsidR="00723279">
        <w:t>s</w:t>
      </w:r>
      <w:r>
        <w:t>, i.e. LAA/</w:t>
      </w:r>
      <w:proofErr w:type="spellStart"/>
      <w:r>
        <w:t>eLAA</w:t>
      </w:r>
      <w:proofErr w:type="spellEnd"/>
      <w:r>
        <w:t>, were</w:t>
      </w:r>
      <w:r w:rsidR="00D74F31">
        <w:t xml:space="preserve"> introduced </w:t>
      </w:r>
      <w:r>
        <w:t xml:space="preserve">starting </w:t>
      </w:r>
      <w:r w:rsidR="00D74F31">
        <w:t>from Rel-13</w:t>
      </w:r>
      <w:r>
        <w:t xml:space="preserve">. As NR phase 1 specification was recently frozen, and </w:t>
      </w:r>
      <w:r w:rsidR="00723279">
        <w:t>phase 2</w:t>
      </w:r>
      <w:r>
        <w:t xml:space="preserve"> Rel-15 specifications expected to be completed by June 2018, it </w:t>
      </w:r>
      <w:r w:rsidR="00723279">
        <w:t xml:space="preserve">is </w:t>
      </w:r>
      <w:r>
        <w:t>beneficial t</w:t>
      </w:r>
      <w:r w:rsidR="00723279">
        <w:t>o study the potential leverage</w:t>
      </w:r>
      <w:r>
        <w:t xml:space="preserve"> of new NR design</w:t>
      </w:r>
      <w:r w:rsidR="00723279">
        <w:t>s</w:t>
      </w:r>
      <w:r>
        <w:t xml:space="preserve"> to enhance the </w:t>
      </w:r>
      <w:r w:rsidR="00723279">
        <w:t xml:space="preserve">NR-based </w:t>
      </w:r>
      <w:r>
        <w:t xml:space="preserve">unlicensed access. </w:t>
      </w:r>
    </w:p>
    <w:p w14:paraId="4862446F" w14:textId="77777777" w:rsidR="00380D0E" w:rsidRDefault="00380D0E" w:rsidP="00380D0E">
      <w:pPr>
        <w:jc w:val="both"/>
      </w:pPr>
    </w:p>
    <w:p w14:paraId="2FF873FA" w14:textId="3BCB9D04" w:rsidR="00D74F31" w:rsidRDefault="00380D0E" w:rsidP="00380D0E">
      <w:pPr>
        <w:jc w:val="both"/>
      </w:pPr>
      <w:r>
        <w:t xml:space="preserve">A Rel-15 study item on NR-based unlicensed access has been approved to study the solutions applicable to </w:t>
      </w:r>
      <w:r w:rsidR="00A10CD6">
        <w:t xml:space="preserve">potential spectrum candidates both below and above 6Ghz, as well as various deployment scenarios, including CA or DC based LAA and standalone </w:t>
      </w:r>
      <w:r w:rsidR="00723279">
        <w:t>based unlicensed</w:t>
      </w:r>
      <w:r w:rsidR="00A10CD6">
        <w:t xml:space="preserve"> operations. </w:t>
      </w:r>
      <w:r>
        <w:t xml:space="preserve">  </w:t>
      </w:r>
    </w:p>
    <w:p w14:paraId="74E4FD9E" w14:textId="77777777" w:rsidR="00380D0E" w:rsidRPr="00D74F31" w:rsidRDefault="00380D0E" w:rsidP="00D74F31"/>
    <w:p w14:paraId="2638A990" w14:textId="201EE0EE" w:rsidR="00D74F31" w:rsidRDefault="00D74F31" w:rsidP="009A28B6">
      <w:pPr>
        <w:jc w:val="both"/>
        <w:rPr>
          <w:bCs/>
        </w:rPr>
      </w:pPr>
      <w:r>
        <w:rPr>
          <w:bCs/>
        </w:rPr>
        <w:t xml:space="preserve">Specifically, the study item will include the following objectives </w:t>
      </w:r>
      <w:r>
        <w:rPr>
          <w:bCs/>
        </w:rPr>
        <w:fldChar w:fldCharType="begin"/>
      </w:r>
      <w:r>
        <w:rPr>
          <w:bCs/>
        </w:rPr>
        <w:instrText xml:space="preserve"> REF _Ref506552387 \n \h </w:instrText>
      </w:r>
      <w:r w:rsidR="009A28B6">
        <w:rPr>
          <w:bCs/>
        </w:rPr>
        <w:instrText xml:space="preserve"> \* MERGEFORMAT </w:instrText>
      </w:r>
      <w:r>
        <w:rPr>
          <w:bCs/>
        </w:rPr>
      </w:r>
      <w:r>
        <w:rPr>
          <w:bCs/>
        </w:rPr>
        <w:fldChar w:fldCharType="separate"/>
      </w:r>
      <w:r w:rsidR="00FE3D51">
        <w:rPr>
          <w:bCs/>
        </w:rPr>
        <w:t>[1]</w:t>
      </w:r>
      <w:r>
        <w:rPr>
          <w:bCs/>
        </w:rPr>
        <w:fldChar w:fldCharType="end"/>
      </w:r>
      <w:r>
        <w:rPr>
          <w:bCs/>
        </w:rPr>
        <w:t xml:space="preserve">: </w:t>
      </w:r>
    </w:p>
    <w:p w14:paraId="66CDC177" w14:textId="77777777" w:rsidR="00D74F31" w:rsidRDefault="00D74F31" w:rsidP="009A28B6">
      <w:pPr>
        <w:jc w:val="both"/>
        <w:rPr>
          <w:bCs/>
        </w:rPr>
      </w:pPr>
    </w:p>
    <w:p w14:paraId="7E83EF5B" w14:textId="77777777" w:rsidR="00D74F31" w:rsidRPr="00380148" w:rsidRDefault="00D74F31" w:rsidP="009A28B6">
      <w:pPr>
        <w:numPr>
          <w:ilvl w:val="0"/>
          <w:numId w:val="29"/>
        </w:numPr>
        <w:overflowPunct w:val="0"/>
        <w:autoSpaceDE w:val="0"/>
        <w:autoSpaceDN w:val="0"/>
        <w:adjustRightInd w:val="0"/>
        <w:jc w:val="both"/>
        <w:textAlignment w:val="baseline"/>
        <w:rPr>
          <w:bCs/>
        </w:rPr>
      </w:pPr>
      <w:r>
        <w:rPr>
          <w:bCs/>
        </w:rPr>
        <w:t xml:space="preserve">Study NR-based operation in unlicensed spectrum </w:t>
      </w:r>
      <w:r w:rsidRPr="00380148">
        <w:rPr>
          <w:bCs/>
        </w:rPr>
        <w:t>(RAN1, RAN2, RAN4)</w:t>
      </w:r>
      <w:r>
        <w:rPr>
          <w:bCs/>
        </w:rPr>
        <w:t xml:space="preserve"> including </w:t>
      </w:r>
    </w:p>
    <w:p w14:paraId="2682834D" w14:textId="77777777" w:rsidR="00D74F31" w:rsidRDefault="00D74F31" w:rsidP="009A28B6">
      <w:pPr>
        <w:numPr>
          <w:ilvl w:val="1"/>
          <w:numId w:val="30"/>
        </w:numPr>
        <w:overflowPunct w:val="0"/>
        <w:autoSpaceDE w:val="0"/>
        <w:autoSpaceDN w:val="0"/>
        <w:adjustRightInd w:val="0"/>
        <w:jc w:val="both"/>
        <w:textAlignment w:val="baseline"/>
        <w:rPr>
          <w:bCs/>
        </w:rPr>
      </w:pPr>
      <w:r>
        <w:rPr>
          <w:bCs/>
        </w:rPr>
        <w:t>Physical channels inheriting the choices of duplex mode, waveform, carrier bandwidth, subcarrier spacing, frame structure, and physical layer design made as part of the NR study and avoiding unnecessary divergence with decisions made in the NR WI</w:t>
      </w:r>
    </w:p>
    <w:p w14:paraId="77F3E395" w14:textId="77777777" w:rsidR="00D74F31" w:rsidRDefault="00D74F31" w:rsidP="009A28B6">
      <w:pPr>
        <w:numPr>
          <w:ilvl w:val="2"/>
          <w:numId w:val="30"/>
        </w:numPr>
        <w:overflowPunct w:val="0"/>
        <w:autoSpaceDE w:val="0"/>
        <w:autoSpaceDN w:val="0"/>
        <w:adjustRightInd w:val="0"/>
        <w:jc w:val="both"/>
        <w:textAlignment w:val="baseline"/>
        <w:rPr>
          <w:bCs/>
        </w:rPr>
      </w:pPr>
      <w:r>
        <w:rPr>
          <w:bCs/>
        </w:rPr>
        <w:t>Consider unlicensed bands both below and above 6GHz, up to 52.6GHz</w:t>
      </w:r>
    </w:p>
    <w:p w14:paraId="626EB753"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Consider unlicensed bands above 52.6GHz to the extent that waveform design principles remain unchanged with respect to below 52.6GHz bands </w:t>
      </w:r>
    </w:p>
    <w:p w14:paraId="4C7BD015" w14:textId="77777777" w:rsidR="00D74F31" w:rsidRPr="006D32D5" w:rsidRDefault="00D74F31" w:rsidP="009A28B6">
      <w:pPr>
        <w:numPr>
          <w:ilvl w:val="2"/>
          <w:numId w:val="30"/>
        </w:numPr>
        <w:overflowPunct w:val="0"/>
        <w:autoSpaceDE w:val="0"/>
        <w:autoSpaceDN w:val="0"/>
        <w:adjustRightInd w:val="0"/>
        <w:jc w:val="both"/>
        <w:textAlignment w:val="baseline"/>
        <w:rPr>
          <w:bCs/>
        </w:rPr>
      </w:pPr>
      <w:r>
        <w:rPr>
          <w:rFonts w:hint="eastAsia"/>
          <w:bCs/>
        </w:rPr>
        <w:t xml:space="preserve">Consider similar forward compatibility </w:t>
      </w:r>
      <w:r>
        <w:rPr>
          <w:bCs/>
        </w:rPr>
        <w:t>principles</w:t>
      </w:r>
      <w:r>
        <w:rPr>
          <w:rFonts w:hint="eastAsia"/>
          <w:bCs/>
        </w:rPr>
        <w:t xml:space="preserve"> made in the NR WI</w:t>
      </w:r>
      <w:r w:rsidRPr="006D32D5">
        <w:rPr>
          <w:bCs/>
        </w:rPr>
        <w:t xml:space="preserve"> </w:t>
      </w:r>
    </w:p>
    <w:p w14:paraId="44EA82CE" w14:textId="77777777" w:rsidR="00D74F31" w:rsidRPr="00BF75FD" w:rsidRDefault="00D74F31" w:rsidP="009A28B6">
      <w:pPr>
        <w:numPr>
          <w:ilvl w:val="1"/>
          <w:numId w:val="30"/>
        </w:numPr>
        <w:overflowPunct w:val="0"/>
        <w:autoSpaceDE w:val="0"/>
        <w:autoSpaceDN w:val="0"/>
        <w:adjustRightInd w:val="0"/>
        <w:jc w:val="both"/>
        <w:textAlignment w:val="baseline"/>
        <w:rPr>
          <w:bCs/>
        </w:rPr>
      </w:pPr>
      <w:r>
        <w:rPr>
          <w:bCs/>
        </w:rPr>
        <w:t xml:space="preserve">Initial access, channel access. Scheduling/HARQ, and mobility including connected/inactive/idle mode operation </w:t>
      </w:r>
      <w:r w:rsidRPr="00636E20">
        <w:rPr>
          <w:bCs/>
        </w:rPr>
        <w:t xml:space="preserve">and </w:t>
      </w:r>
      <w:r>
        <w:rPr>
          <w:bCs/>
        </w:rPr>
        <w:t>radio-link monitoring/failure</w:t>
      </w:r>
    </w:p>
    <w:p w14:paraId="73A8F61E" w14:textId="77777777" w:rsidR="00D74F31" w:rsidRPr="00E16BC1" w:rsidRDefault="00D74F31" w:rsidP="009A28B6">
      <w:pPr>
        <w:numPr>
          <w:ilvl w:val="1"/>
          <w:numId w:val="30"/>
        </w:numPr>
        <w:overflowPunct w:val="0"/>
        <w:autoSpaceDE w:val="0"/>
        <w:autoSpaceDN w:val="0"/>
        <w:adjustRightInd w:val="0"/>
        <w:jc w:val="both"/>
        <w:textAlignment w:val="baseline"/>
        <w:rPr>
          <w:bCs/>
        </w:rPr>
      </w:pPr>
      <w:r>
        <w:rPr>
          <w:bCs/>
        </w:rPr>
        <w:t>C</w:t>
      </w:r>
      <w:r w:rsidRPr="009D12AA">
        <w:rPr>
          <w:bCs/>
        </w:rPr>
        <w:t>oexistence</w:t>
      </w:r>
      <w:r w:rsidRPr="008F0CB9">
        <w:rPr>
          <w:bCs/>
        </w:rPr>
        <w:t xml:space="preserve"> methods </w:t>
      </w:r>
      <w:r>
        <w:rPr>
          <w:bCs/>
        </w:rPr>
        <w:t xml:space="preserve">within NR-based and between NR-based operation in unlicensed and </w:t>
      </w:r>
      <w:r w:rsidRPr="008F0CB9">
        <w:rPr>
          <w:bCs/>
        </w:rPr>
        <w:t>LTE</w:t>
      </w:r>
      <w:r>
        <w:rPr>
          <w:bCs/>
        </w:rPr>
        <w:t>-based LAA</w:t>
      </w:r>
      <w:r w:rsidRPr="008F0CB9">
        <w:rPr>
          <w:bCs/>
        </w:rPr>
        <w:t xml:space="preserve"> and </w:t>
      </w:r>
      <w:r>
        <w:rPr>
          <w:bCs/>
        </w:rPr>
        <w:t xml:space="preserve">with </w:t>
      </w:r>
      <w:r w:rsidRPr="008F0CB9">
        <w:rPr>
          <w:bCs/>
        </w:rPr>
        <w:t xml:space="preserve">other </w:t>
      </w:r>
      <w:r>
        <w:rPr>
          <w:bCs/>
        </w:rPr>
        <w:t xml:space="preserve">incumbent </w:t>
      </w:r>
      <w:r w:rsidRPr="008F0CB9">
        <w:rPr>
          <w:bCs/>
        </w:rPr>
        <w:t>RATs</w:t>
      </w:r>
      <w:r w:rsidRPr="00915396">
        <w:rPr>
          <w:bCs/>
        </w:rPr>
        <w:t xml:space="preserve"> in accordance with regulatory requirements </w:t>
      </w:r>
      <w:r>
        <w:rPr>
          <w:bCs/>
        </w:rPr>
        <w:t xml:space="preserve">in </w:t>
      </w:r>
      <w:r w:rsidRPr="00915396">
        <w:rPr>
          <w:bCs/>
        </w:rPr>
        <w:t>e.g., 5</w:t>
      </w:r>
      <w:proofErr w:type="gramStart"/>
      <w:r w:rsidRPr="00915396">
        <w:rPr>
          <w:bCs/>
        </w:rPr>
        <w:t>GHz</w:t>
      </w:r>
      <w:r>
        <w:rPr>
          <w:bCs/>
        </w:rPr>
        <w:t xml:space="preserve"> ,</w:t>
      </w:r>
      <w:proofErr w:type="gramEnd"/>
      <w:r>
        <w:rPr>
          <w:bCs/>
        </w:rPr>
        <w:t xml:space="preserve"> 37GHz, 60GHz</w:t>
      </w:r>
      <w:r w:rsidRPr="00915396">
        <w:rPr>
          <w:bCs/>
        </w:rPr>
        <w:t xml:space="preserve"> bands </w:t>
      </w:r>
    </w:p>
    <w:p w14:paraId="33F6E292" w14:textId="77777777" w:rsidR="00D74F31" w:rsidRDefault="00D74F31" w:rsidP="009A28B6">
      <w:pPr>
        <w:numPr>
          <w:ilvl w:val="2"/>
          <w:numId w:val="30"/>
        </w:numPr>
        <w:overflowPunct w:val="0"/>
        <w:autoSpaceDE w:val="0"/>
        <w:autoSpaceDN w:val="0"/>
        <w:adjustRightInd w:val="0"/>
        <w:jc w:val="both"/>
        <w:textAlignment w:val="baseline"/>
        <w:rPr>
          <w:bCs/>
        </w:rPr>
      </w:pPr>
      <w:r>
        <w:rPr>
          <w:bC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4C0625C1" w14:textId="77777777" w:rsidR="00D0190A" w:rsidRDefault="00D0190A" w:rsidP="009A28B6">
      <w:pPr>
        <w:jc w:val="both"/>
        <w:rPr>
          <w:sz w:val="20"/>
          <w:szCs w:val="20"/>
        </w:rPr>
      </w:pPr>
    </w:p>
    <w:p w14:paraId="593C00FF" w14:textId="1FF6A26A" w:rsidR="006C3EA8" w:rsidRDefault="006C3EA8" w:rsidP="009A28B6">
      <w:pPr>
        <w:jc w:val="both"/>
      </w:pPr>
      <w:r>
        <w:t>In RAN1 #92bis, it was further agreed that</w:t>
      </w:r>
      <w:r w:rsidR="000D3138">
        <w:t xml:space="preserve"> </w:t>
      </w:r>
      <w:r w:rsidR="000D3138">
        <w:fldChar w:fldCharType="begin"/>
      </w:r>
      <w:r w:rsidR="000D3138">
        <w:instrText xml:space="preserve"> REF _Ref513812566 \n \h </w:instrText>
      </w:r>
      <w:r w:rsidR="000D3138">
        <w:fldChar w:fldCharType="separate"/>
      </w:r>
      <w:r w:rsidR="000D3138">
        <w:t>[2]</w:t>
      </w:r>
      <w:r w:rsidR="000D3138">
        <w:fldChar w:fldCharType="end"/>
      </w:r>
      <w:r>
        <w:t>:</w:t>
      </w:r>
    </w:p>
    <w:p w14:paraId="32D15A73" w14:textId="77777777" w:rsidR="000D3138" w:rsidRPr="00085D5D" w:rsidRDefault="000D3138" w:rsidP="000D3138">
      <w:r w:rsidRPr="005C369E">
        <w:rPr>
          <w:highlight w:val="green"/>
        </w:rPr>
        <w:t>Agreements:</w:t>
      </w:r>
    </w:p>
    <w:p w14:paraId="2487C37F" w14:textId="77777777" w:rsidR="000D3138" w:rsidRPr="0001199A" w:rsidRDefault="000D3138" w:rsidP="000D3138">
      <w:pPr>
        <w:widowControl w:val="0"/>
        <w:numPr>
          <w:ilvl w:val="0"/>
          <w:numId w:val="32"/>
        </w:numPr>
        <w:jc w:val="both"/>
      </w:pPr>
      <w:r>
        <w:t>Study the design changes needed to support the following channels /signals in NR-U</w:t>
      </w:r>
    </w:p>
    <w:p w14:paraId="0763B130" w14:textId="77777777" w:rsidR="000D3138" w:rsidRPr="0001199A" w:rsidRDefault="000D3138" w:rsidP="000D3138">
      <w:pPr>
        <w:widowControl w:val="0"/>
        <w:numPr>
          <w:ilvl w:val="1"/>
          <w:numId w:val="32"/>
        </w:numPr>
        <w:jc w:val="both"/>
      </w:pPr>
      <w:r w:rsidRPr="0001199A">
        <w:t>PDCCH/PDSCH</w:t>
      </w:r>
    </w:p>
    <w:p w14:paraId="16912DF2" w14:textId="77777777" w:rsidR="000D3138" w:rsidRPr="0001199A" w:rsidRDefault="000D3138" w:rsidP="000D3138">
      <w:pPr>
        <w:widowControl w:val="0"/>
        <w:numPr>
          <w:ilvl w:val="1"/>
          <w:numId w:val="32"/>
        </w:numPr>
        <w:jc w:val="both"/>
      </w:pPr>
      <w:r w:rsidRPr="0001199A">
        <w:t>PUCCH/PUSCH</w:t>
      </w:r>
    </w:p>
    <w:p w14:paraId="5A9C5688" w14:textId="77777777" w:rsidR="000D3138" w:rsidRPr="0001199A" w:rsidRDefault="000D3138" w:rsidP="000D3138">
      <w:pPr>
        <w:widowControl w:val="0"/>
        <w:numPr>
          <w:ilvl w:val="1"/>
          <w:numId w:val="32"/>
        </w:numPr>
        <w:jc w:val="both"/>
      </w:pPr>
      <w:r w:rsidRPr="0001199A">
        <w:t>PSS/SSS/PBCH</w:t>
      </w:r>
    </w:p>
    <w:p w14:paraId="3AB09365" w14:textId="77777777" w:rsidR="000D3138" w:rsidRPr="0001199A" w:rsidRDefault="000D3138" w:rsidP="000D3138">
      <w:pPr>
        <w:widowControl w:val="0"/>
        <w:numPr>
          <w:ilvl w:val="1"/>
          <w:numId w:val="32"/>
        </w:numPr>
        <w:jc w:val="both"/>
      </w:pPr>
      <w:r w:rsidRPr="0001199A">
        <w:t>PRACH</w:t>
      </w:r>
    </w:p>
    <w:p w14:paraId="6DFF28D3" w14:textId="1702BA79" w:rsidR="006C3EA8" w:rsidRDefault="000D3138" w:rsidP="009A28B6">
      <w:pPr>
        <w:widowControl w:val="0"/>
        <w:numPr>
          <w:ilvl w:val="1"/>
          <w:numId w:val="32"/>
        </w:numPr>
        <w:jc w:val="both"/>
      </w:pPr>
      <w:r w:rsidRPr="0001199A">
        <w:t>DL and UL reference signals applicable to the operational frequency range</w:t>
      </w:r>
    </w:p>
    <w:p w14:paraId="2EACFD34" w14:textId="77777777" w:rsidR="006C3EA8" w:rsidRDefault="006C3EA8" w:rsidP="009A28B6">
      <w:pPr>
        <w:jc w:val="both"/>
      </w:pPr>
    </w:p>
    <w:p w14:paraId="19C1B459" w14:textId="5EB88434" w:rsidR="006C3EA8" w:rsidRPr="0012647B" w:rsidRDefault="009A28B6" w:rsidP="009A28B6">
      <w:pPr>
        <w:jc w:val="both"/>
      </w:pPr>
      <w:r>
        <w:t xml:space="preserve">In this contribution, we briefly discuss </w:t>
      </w:r>
      <w:r w:rsidR="00936CE0">
        <w:t>potential challenges and solutions to channel design for initial access in unlicensed spectrum access</w:t>
      </w:r>
      <w:r>
        <w:t>.</w:t>
      </w:r>
      <w:r w:rsidR="00E00C1E">
        <w:t xml:space="preserve"> In a companion paper</w:t>
      </w:r>
      <w:r w:rsidR="00D800F3">
        <w:t xml:space="preserve"> </w:t>
      </w:r>
      <w:r w:rsidR="00D800F3">
        <w:fldChar w:fldCharType="begin"/>
      </w:r>
      <w:r w:rsidR="00D800F3">
        <w:instrText xml:space="preserve"> REF _Ref510792798 \n \h </w:instrText>
      </w:r>
      <w:r w:rsidR="00D800F3">
        <w:fldChar w:fldCharType="separate"/>
      </w:r>
      <w:r w:rsidR="00D800F3">
        <w:t>[4]</w:t>
      </w:r>
      <w:r w:rsidR="00D800F3">
        <w:fldChar w:fldCharType="end"/>
      </w:r>
      <w:r w:rsidR="00E00C1E">
        <w:t>, we also briefly discuss other potential enhancements to physical layer procedures for unlicensed access, including LBT enhancements.</w:t>
      </w:r>
    </w:p>
    <w:p w14:paraId="391D81F2" w14:textId="3590ACE6" w:rsidR="00C9318D" w:rsidRDefault="002208A2" w:rsidP="00B02A2D">
      <w:pPr>
        <w:pStyle w:val="Heading1"/>
      </w:pPr>
      <w:r>
        <w:t>PRACH Waveform</w:t>
      </w:r>
    </w:p>
    <w:p w14:paraId="0A45BEB6" w14:textId="43082E88" w:rsidR="002208A2" w:rsidRDefault="002208A2" w:rsidP="00C275A9">
      <w:pPr>
        <w:jc w:val="both"/>
      </w:pPr>
      <w:r>
        <w:t xml:space="preserve">NR PRACH preamble formats inherit similar design as LTE. The preambles are based on ZC sequence with constant envelope property </w:t>
      </w:r>
      <w:r w:rsidR="002641A0">
        <w:t xml:space="preserve">to maximize PA efficiency and coverage. It consists of two categories: the long sequence formats </w:t>
      </w:r>
      <w:r w:rsidR="00794A81">
        <w:t xml:space="preserve">with 839 tones </w:t>
      </w:r>
      <w:r w:rsidR="002641A0">
        <w:t>and short sequence formats</w:t>
      </w:r>
      <w:r w:rsidR="00794A81">
        <w:t xml:space="preserve"> with 139 tones</w:t>
      </w:r>
      <w:r w:rsidR="003D5F63">
        <w:t>,</w:t>
      </w:r>
      <w:r w:rsidR="002641A0">
        <w:t xml:space="preserve"> respectively, as shown </w:t>
      </w:r>
      <w:r w:rsidR="007F15A5">
        <w:t xml:space="preserve">in </w:t>
      </w:r>
      <w:r w:rsidR="000F6DAD">
        <w:fldChar w:fldCharType="begin"/>
      </w:r>
      <w:r w:rsidR="000F6DAD">
        <w:instrText xml:space="preserve"> REF _Ref510714710 \h </w:instrText>
      </w:r>
      <w:r w:rsidR="000F6DAD">
        <w:fldChar w:fldCharType="separate"/>
      </w:r>
      <w:r w:rsidR="000F6DAD">
        <w:t xml:space="preserve">Figure </w:t>
      </w:r>
      <w:r w:rsidR="000F6DAD">
        <w:rPr>
          <w:noProof/>
        </w:rPr>
        <w:t>3</w:t>
      </w:r>
      <w:r w:rsidR="000F6DAD">
        <w:noBreakHyphen/>
      </w:r>
      <w:r w:rsidR="000F6DAD">
        <w:rPr>
          <w:noProof/>
        </w:rPr>
        <w:t>1</w:t>
      </w:r>
      <w:r w:rsidR="000F6DAD">
        <w:fldChar w:fldCharType="end"/>
      </w:r>
      <w:r w:rsidR="000F6DAD">
        <w:t>.</w:t>
      </w:r>
    </w:p>
    <w:p w14:paraId="20315C44" w14:textId="77777777" w:rsidR="002641A0" w:rsidRDefault="002641A0" w:rsidP="00C275A9">
      <w:pPr>
        <w:jc w:val="both"/>
      </w:pPr>
    </w:p>
    <w:p w14:paraId="209EE252" w14:textId="31BF1D94" w:rsidR="002641A0" w:rsidRDefault="00E37CC2" w:rsidP="00E37CC2">
      <w:pPr>
        <w:jc w:val="center"/>
      </w:pPr>
      <w:r w:rsidRPr="00E37CC2">
        <w:rPr>
          <w:noProof/>
        </w:rPr>
        <w:drawing>
          <wp:inline distT="0" distB="0" distL="0" distR="0" wp14:anchorId="0BDE849F" wp14:editId="1F53213C">
            <wp:extent cx="4251960" cy="2532888"/>
            <wp:effectExtent l="0" t="0" r="254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251960" cy="2532888"/>
                    </a:xfrm>
                    <a:prstGeom prst="rect">
                      <a:avLst/>
                    </a:prstGeom>
                  </pic:spPr>
                </pic:pic>
              </a:graphicData>
            </a:graphic>
          </wp:inline>
        </w:drawing>
      </w:r>
    </w:p>
    <w:p w14:paraId="22C8B601" w14:textId="77777777" w:rsidR="00B970DD" w:rsidRDefault="00B970DD" w:rsidP="00E37CC2">
      <w:pPr>
        <w:jc w:val="center"/>
      </w:pPr>
    </w:p>
    <w:p w14:paraId="45592EF5" w14:textId="506A591D" w:rsidR="002641A0" w:rsidRDefault="007F15A5" w:rsidP="007F15A5">
      <w:pPr>
        <w:pStyle w:val="Caption"/>
      </w:pPr>
      <w:bookmarkStart w:id="0" w:name="_Ref510714710"/>
      <w:r>
        <w:t xml:space="preserve">Figure </w:t>
      </w:r>
      <w:fldSimple w:instr=" STYLEREF 1 \s ">
        <w:r w:rsidR="00E00C1E">
          <w:rPr>
            <w:noProof/>
          </w:rPr>
          <w:t>3</w:t>
        </w:r>
      </w:fldSimple>
      <w:r w:rsidR="00E00C1E">
        <w:noBreakHyphen/>
      </w:r>
      <w:fldSimple w:instr=" SEQ Figure \* ARABIC \s 1 ">
        <w:r w:rsidR="00E00C1E">
          <w:rPr>
            <w:noProof/>
          </w:rPr>
          <w:t>1</w:t>
        </w:r>
      </w:fldSimple>
      <w:bookmarkEnd w:id="0"/>
      <w:r>
        <w:t xml:space="preserve"> </w:t>
      </w:r>
      <w:r w:rsidR="00E37CC2">
        <w:t>NR PRACH preamble formats</w:t>
      </w:r>
    </w:p>
    <w:p w14:paraId="509661F7" w14:textId="77777777" w:rsidR="00D4784F" w:rsidRDefault="00576DBE" w:rsidP="00C275A9">
      <w:pPr>
        <w:jc w:val="both"/>
      </w:pPr>
      <w:r>
        <w:t>Each category also supports differ</w:t>
      </w:r>
      <w:r w:rsidR="00D4784F">
        <w:t>ent sets of numerologies, leading to different BW, transmission length and coverage.</w:t>
      </w:r>
    </w:p>
    <w:p w14:paraId="04C013C5" w14:textId="34391B2C" w:rsidR="000F6DAD" w:rsidRDefault="00576DBE" w:rsidP="00C275A9">
      <w:pPr>
        <w:jc w:val="both"/>
      </w:pPr>
      <w:r>
        <w:t xml:space="preserve">  </w:t>
      </w:r>
      <w:r w:rsidR="000F6DAD">
        <w:t xml:space="preserve"> </w:t>
      </w:r>
    </w:p>
    <w:p w14:paraId="096B46B2" w14:textId="67321891" w:rsidR="002641A0" w:rsidRDefault="00576DBE" w:rsidP="00C275A9">
      <w:pPr>
        <w:jc w:val="both"/>
      </w:pPr>
      <w:r>
        <w:t xml:space="preserve">PRACH </w:t>
      </w:r>
      <w:r w:rsidR="00D4784F">
        <w:t>support is also critical for unlicensed spectrum access, including derivation of uplink timing or for stand-alone deployment</w:t>
      </w:r>
      <w:r w:rsidR="00C6047A">
        <w:t>. However, direct application of existing NR PRACH formats to unlicensed spectrum is not straightforward, due to certain regulation requirements.</w:t>
      </w:r>
      <w:r w:rsidR="001B625A">
        <w:t xml:space="preserve"> Specifically, the transmission in the unlicensed spectrum is s</w:t>
      </w:r>
      <w:r w:rsidR="00B279AA">
        <w:t xml:space="preserve">ubject to </w:t>
      </w:r>
      <w:r w:rsidR="001B625A">
        <w:t xml:space="preserve">the following requirements on occupied channel bandwidth (COB) and power spectrum density (PSD) </w:t>
      </w:r>
      <w:r w:rsidR="001B625A">
        <w:fldChar w:fldCharType="begin"/>
      </w:r>
      <w:r w:rsidR="001B625A">
        <w:instrText xml:space="preserve"> REF _Ref506468726 \n \h </w:instrText>
      </w:r>
      <w:r w:rsidR="001B625A">
        <w:fldChar w:fldCharType="separate"/>
      </w:r>
      <w:r w:rsidR="001B625A">
        <w:t>[2]</w:t>
      </w:r>
      <w:r w:rsidR="001B625A">
        <w:fldChar w:fldCharType="end"/>
      </w:r>
      <w:r w:rsidR="001B625A">
        <w:fldChar w:fldCharType="begin"/>
      </w:r>
      <w:r w:rsidR="001B625A">
        <w:instrText xml:space="preserve"> REF _Ref506468732 \n \h </w:instrText>
      </w:r>
      <w:r w:rsidR="001B625A">
        <w:fldChar w:fldCharType="separate"/>
      </w:r>
      <w:r w:rsidR="001B625A">
        <w:t>[3]</w:t>
      </w:r>
      <w:r w:rsidR="001B625A">
        <w:fldChar w:fldCharType="end"/>
      </w:r>
    </w:p>
    <w:p w14:paraId="4EC890F1" w14:textId="04F41BC4" w:rsidR="00B279AA" w:rsidRDefault="00B279AA" w:rsidP="00B279AA">
      <w:pPr>
        <w:pStyle w:val="ListParagraph"/>
        <w:numPr>
          <w:ilvl w:val="0"/>
          <w:numId w:val="30"/>
        </w:numPr>
        <w:jc w:val="both"/>
      </w:pPr>
      <w:r>
        <w:t>COB</w:t>
      </w:r>
      <w:r w:rsidR="001B625A">
        <w:t xml:space="preserve"> requirements:</w:t>
      </w:r>
    </w:p>
    <w:p w14:paraId="07E55B81" w14:textId="2473F389" w:rsidR="001B625A" w:rsidRDefault="001B625A" w:rsidP="001B625A">
      <w:pPr>
        <w:pStyle w:val="ListParagraph"/>
        <w:numPr>
          <w:ilvl w:val="1"/>
          <w:numId w:val="30"/>
        </w:numPr>
        <w:jc w:val="both"/>
      </w:pPr>
      <w:r>
        <w:t xml:space="preserve">The </w:t>
      </w:r>
      <w:r w:rsidRPr="001B625A">
        <w:t xml:space="preserve">bandwidth containing 99% of the power of the signal, shall be between 80% and 100% of the </w:t>
      </w:r>
      <w:r w:rsidRPr="001B625A">
        <w:rPr>
          <w:i/>
          <w:iCs/>
        </w:rPr>
        <w:t>Nominal Channel Bandwidth</w:t>
      </w:r>
      <w:r w:rsidRPr="001B625A">
        <w:t xml:space="preserve"> (NCB)</w:t>
      </w:r>
    </w:p>
    <w:p w14:paraId="54DB42DF" w14:textId="17316027" w:rsidR="0049468A" w:rsidRDefault="0049468A" w:rsidP="001B625A">
      <w:pPr>
        <w:pStyle w:val="ListParagraph"/>
        <w:numPr>
          <w:ilvl w:val="1"/>
          <w:numId w:val="30"/>
        </w:numPr>
        <w:jc w:val="both"/>
      </w:pPr>
      <w:r w:rsidRPr="0049468A">
        <w:t>The OCB in 60GHz bands shall be more than 70% of the NCB</w:t>
      </w:r>
    </w:p>
    <w:p w14:paraId="607D1A0C" w14:textId="7F6139FC" w:rsidR="00B279AA" w:rsidRDefault="00B279AA" w:rsidP="00B279AA">
      <w:pPr>
        <w:pStyle w:val="ListParagraph"/>
        <w:numPr>
          <w:ilvl w:val="0"/>
          <w:numId w:val="30"/>
        </w:numPr>
        <w:jc w:val="both"/>
      </w:pPr>
      <w:r>
        <w:t>PSD</w:t>
      </w:r>
      <w:r w:rsidR="0049468A">
        <w:t xml:space="preserve"> requirements:</w:t>
      </w:r>
    </w:p>
    <w:p w14:paraId="4FFA6950" w14:textId="3EF54D41" w:rsidR="0049468A" w:rsidRDefault="0049468A" w:rsidP="0049468A">
      <w:pPr>
        <w:pStyle w:val="ListParagraph"/>
        <w:numPr>
          <w:ilvl w:val="1"/>
          <w:numId w:val="30"/>
        </w:numPr>
        <w:jc w:val="both"/>
      </w:pPr>
      <w:r>
        <w:t>For 5GHz spectrum: maximal EIRP</w:t>
      </w:r>
      <w:r w:rsidRPr="0049468A">
        <w:t xml:space="preserve"> </w:t>
      </w:r>
      <w:r>
        <w:t xml:space="preserve">is </w:t>
      </w:r>
      <w:r w:rsidRPr="0049468A">
        <w:t>23dBm and</w:t>
      </w:r>
      <w:r>
        <w:t xml:space="preserve"> PSD shall not exceed 10dBm/</w:t>
      </w:r>
      <w:proofErr w:type="spellStart"/>
      <w:r>
        <w:t>MHz.</w:t>
      </w:r>
      <w:proofErr w:type="spellEnd"/>
    </w:p>
    <w:p w14:paraId="63A196F8" w14:textId="7D9C9D41" w:rsidR="0049468A" w:rsidRDefault="0049468A" w:rsidP="0049468A">
      <w:pPr>
        <w:pStyle w:val="ListParagraph"/>
        <w:numPr>
          <w:ilvl w:val="1"/>
          <w:numId w:val="30"/>
        </w:numPr>
        <w:jc w:val="both"/>
      </w:pPr>
      <w:r>
        <w:t>For 60GHz spectrum: maximal EIRP is 40dBm and PSD shall not exceed 13dBm/</w:t>
      </w:r>
      <w:proofErr w:type="spellStart"/>
      <w:r>
        <w:t>MHz.</w:t>
      </w:r>
      <w:proofErr w:type="spellEnd"/>
    </w:p>
    <w:p w14:paraId="250259D3" w14:textId="6A5EA777" w:rsidR="00B279AA" w:rsidRDefault="00B279AA" w:rsidP="00B279AA">
      <w:pPr>
        <w:jc w:val="both"/>
      </w:pPr>
    </w:p>
    <w:p w14:paraId="11973648" w14:textId="77777777" w:rsidR="00865BD2" w:rsidRDefault="009E76EE" w:rsidP="00B279AA">
      <w:pPr>
        <w:jc w:val="both"/>
      </w:pPr>
      <w:r>
        <w:t xml:space="preserve">As shown in </w:t>
      </w:r>
      <w:r>
        <w:fldChar w:fldCharType="begin"/>
      </w:r>
      <w:r>
        <w:instrText xml:space="preserve"> REF _Ref510714710 \h </w:instrText>
      </w:r>
      <w:r>
        <w:fldChar w:fldCharType="separate"/>
      </w:r>
      <w:r>
        <w:t xml:space="preserve">Figure </w:t>
      </w:r>
      <w:r>
        <w:rPr>
          <w:noProof/>
        </w:rPr>
        <w:t>3</w:t>
      </w:r>
      <w:r>
        <w:noBreakHyphen/>
      </w:r>
      <w:r>
        <w:rPr>
          <w:noProof/>
        </w:rPr>
        <w:t>1</w:t>
      </w:r>
      <w:r>
        <w:fldChar w:fldCharType="end"/>
      </w:r>
      <w:r>
        <w:t>, the maximal PRACH pre-amble bandwidth using a long sequence format is</w:t>
      </w:r>
      <w:r w:rsidR="004619A3">
        <w:t xml:space="preserve"> </w:t>
      </w:r>
      <m:oMath>
        <m:r>
          <w:rPr>
            <w:rFonts w:ascii="Cambria Math" w:hAnsi="Cambria Math"/>
          </w:rPr>
          <m:t>839 × 5kHz≈4.2mHz</m:t>
        </m:r>
      </m:oMath>
      <w:r w:rsidR="004619A3">
        <w:t xml:space="preserve">. When using </w:t>
      </w:r>
      <w:r w:rsidR="00865BD2">
        <w:t xml:space="preserve">short sequence format, the maximal pre-amble bandwidth is also </w:t>
      </w:r>
      <m:oMath>
        <m:r>
          <w:rPr>
            <w:rFonts w:ascii="Cambria Math" w:hAnsi="Cambria Math"/>
          </w:rPr>
          <m:t>139×60kHz≈8.3mHz</m:t>
        </m:r>
      </m:oMath>
      <w:r w:rsidR="00865BD2">
        <w:t xml:space="preserve">, assuming up to 60kHz numerology is adopted for PRACH preamble in sub-6GHz spectrum. </w:t>
      </w:r>
    </w:p>
    <w:p w14:paraId="2CEC9ADA" w14:textId="77777777" w:rsidR="00865BD2" w:rsidRDefault="00865BD2" w:rsidP="00B279AA">
      <w:pPr>
        <w:jc w:val="both"/>
      </w:pPr>
    </w:p>
    <w:p w14:paraId="4C4B67B5" w14:textId="22536CD5" w:rsidR="009E76EE" w:rsidRDefault="00865BD2" w:rsidP="00B279AA">
      <w:pPr>
        <w:jc w:val="both"/>
      </w:pPr>
      <w:r>
        <w:lastRenderedPageBreak/>
        <w:t>We notice that in either case, the PRACH preamble will not satisfy the OCB requirements</w:t>
      </w:r>
      <w:r w:rsidR="00CF3ADC">
        <w:t xml:space="preserve"> above</w:t>
      </w:r>
      <w:r>
        <w:t>, given the channel allocation is in unit of 20Mhz for the 5GHz unlicensed spectrum.</w:t>
      </w:r>
      <w:r w:rsidR="004619A3">
        <w:t xml:space="preserve"> </w:t>
      </w:r>
      <w:r w:rsidR="00CF3ADC">
        <w:t xml:space="preserve">Further, due to the PSD requirements, the maximal transmit power is also limited. For example, with 4.2mHz BW using the long sequence format, the maximal transmit power is limited to ~16dBm for 5GHz spectrum. This is much lower than the 23dBm allowed by the regulation and imposes unnecessary constraint on the UL coverage. Therefore, the PRACH preamble waveform needs to be modified for the unlicensed spectrum in order to meet the regulation requirements and allow the UE to reach the corresponding maximum transmit power. </w:t>
      </w:r>
    </w:p>
    <w:p w14:paraId="631BA16E" w14:textId="77777777" w:rsidR="00CF3ADC" w:rsidRDefault="00CF3ADC" w:rsidP="00B279AA">
      <w:pPr>
        <w:jc w:val="both"/>
      </w:pPr>
    </w:p>
    <w:p w14:paraId="2F0BF536" w14:textId="77777777" w:rsidR="006863A8" w:rsidRDefault="006863A8" w:rsidP="00B279AA">
      <w:pPr>
        <w:jc w:val="both"/>
      </w:pPr>
      <w:r>
        <w:t>It should be emphasized that a desirable solution should introduce minimal changes to the existing design for licensed spectrum and should also keep the benefits of the existing PRACH preamble waveform as much as possible (e.g. the inherent constant envelope property from the ZC sequence).</w:t>
      </w:r>
    </w:p>
    <w:p w14:paraId="186EB619" w14:textId="77777777" w:rsidR="006863A8" w:rsidRDefault="006863A8" w:rsidP="00B279AA">
      <w:pPr>
        <w:jc w:val="both"/>
      </w:pPr>
    </w:p>
    <w:p w14:paraId="6FFE1645" w14:textId="5687FAD2" w:rsidR="009F4B4E" w:rsidRDefault="009F4B4E" w:rsidP="00B279AA">
      <w:pPr>
        <w:jc w:val="both"/>
      </w:pPr>
      <w:r>
        <w:t xml:space="preserve">One </w:t>
      </w:r>
      <w:r w:rsidR="006863A8">
        <w:t xml:space="preserve">solution is to keep the existing PRACH preamble design, but </w:t>
      </w:r>
      <w:r>
        <w:t>simply apply</w:t>
      </w:r>
      <w:r w:rsidR="006863A8">
        <w:t xml:space="preserve"> </w:t>
      </w:r>
      <w:r w:rsidR="00D37630">
        <w:t>“</w:t>
      </w:r>
      <w:r w:rsidR="006863A8" w:rsidRPr="00D37630">
        <w:rPr>
          <w:i/>
        </w:rPr>
        <w:t>tone-interlacing</w:t>
      </w:r>
      <w:r>
        <w:rPr>
          <w:i/>
        </w:rPr>
        <w:t>”</w:t>
      </w:r>
      <w:r w:rsidR="006863A8">
        <w:t xml:space="preserve"> </w:t>
      </w:r>
      <w:r>
        <w:t xml:space="preserve">by factor </w:t>
      </w:r>
      <m:oMath>
        <m:r>
          <w:rPr>
            <w:rFonts w:ascii="Cambria Math" w:hAnsi="Cambria Math"/>
          </w:rPr>
          <m:t>M</m:t>
        </m:r>
      </m:oMath>
      <w:r>
        <w:t xml:space="preserve">, </w:t>
      </w:r>
      <w:r w:rsidR="006863A8">
        <w:t>to expa</w:t>
      </w:r>
      <w:r w:rsidR="00D37630">
        <w:t xml:space="preserve">nd the PRACH preamble </w:t>
      </w:r>
      <w:r>
        <w:t xml:space="preserve">BW </w:t>
      </w:r>
      <w:r w:rsidR="00D37630">
        <w:t>such that both COB requirements and target transmit power</w:t>
      </w:r>
      <w:r>
        <w:t xml:space="preserve"> are met. </w:t>
      </w:r>
      <w:r>
        <w:fldChar w:fldCharType="begin"/>
      </w:r>
      <w:r>
        <w:instrText xml:space="preserve"> REF _Ref510774483 \h </w:instrText>
      </w:r>
      <w:r>
        <w:fldChar w:fldCharType="separate"/>
      </w:r>
      <w:r>
        <w:t xml:space="preserve">Figure </w:t>
      </w:r>
      <w:r>
        <w:rPr>
          <w:noProof/>
        </w:rPr>
        <w:t>3</w:t>
      </w:r>
      <w:r>
        <w:noBreakHyphen/>
      </w:r>
      <w:r>
        <w:rPr>
          <w:noProof/>
        </w:rPr>
        <w:t>2</w:t>
      </w:r>
      <w:r>
        <w:fldChar w:fldCharType="end"/>
      </w:r>
      <w:r>
        <w:t xml:space="preserve"> illustrates an example with </w:t>
      </w:r>
      <m:oMath>
        <m:r>
          <w:rPr>
            <w:rFonts w:ascii="Cambria Math" w:hAnsi="Cambria Math"/>
          </w:rPr>
          <m:t>M=3</m:t>
        </m:r>
      </m:oMath>
      <w:r>
        <w:t xml:space="preserve">, where PRACH preamble tones are mapped to 1 out every 3 subcarriers. </w:t>
      </w:r>
    </w:p>
    <w:p w14:paraId="72C6339B" w14:textId="77777777" w:rsidR="009F4B4E" w:rsidRDefault="009F4B4E" w:rsidP="00B279AA">
      <w:pPr>
        <w:jc w:val="both"/>
      </w:pPr>
    </w:p>
    <w:p w14:paraId="360CF08C" w14:textId="42D10C64" w:rsidR="00CF3ADC" w:rsidRDefault="00A33167" w:rsidP="009F4B4E">
      <w:pPr>
        <w:jc w:val="center"/>
      </w:pPr>
      <w:r w:rsidRPr="00A33167">
        <w:rPr>
          <w:noProof/>
        </w:rPr>
        <w:drawing>
          <wp:inline distT="0" distB="0" distL="0" distR="0" wp14:anchorId="68D53C6E" wp14:editId="54065AA8">
            <wp:extent cx="4306824" cy="2002536"/>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06824" cy="2002536"/>
                    </a:xfrm>
                    <a:prstGeom prst="rect">
                      <a:avLst/>
                    </a:prstGeom>
                  </pic:spPr>
                </pic:pic>
              </a:graphicData>
            </a:graphic>
          </wp:inline>
        </w:drawing>
      </w:r>
    </w:p>
    <w:p w14:paraId="7885231B" w14:textId="7DC911ED" w:rsidR="009F4B4E" w:rsidRDefault="009F4B4E" w:rsidP="009F4B4E">
      <w:pPr>
        <w:pStyle w:val="Caption"/>
      </w:pPr>
      <w:bookmarkStart w:id="1" w:name="_Ref510774483"/>
      <w:r>
        <w:t xml:space="preserve">Figure </w:t>
      </w:r>
      <w:fldSimple w:instr=" STYLEREF 1 \s ">
        <w:r w:rsidR="00E00C1E">
          <w:rPr>
            <w:noProof/>
          </w:rPr>
          <w:t>3</w:t>
        </w:r>
      </w:fldSimple>
      <w:r w:rsidR="00E00C1E">
        <w:noBreakHyphen/>
      </w:r>
      <w:fldSimple w:instr=" SEQ Figure \* ARABIC \s 1 ">
        <w:r w:rsidR="00E00C1E">
          <w:rPr>
            <w:noProof/>
          </w:rPr>
          <w:t>2</w:t>
        </w:r>
      </w:fldSimple>
      <w:bookmarkEnd w:id="1"/>
      <w:r>
        <w:t xml:space="preserve"> PRACH preamble with tone interlacing</w:t>
      </w:r>
    </w:p>
    <w:p w14:paraId="50B490B1" w14:textId="77777777" w:rsidR="00B279AA" w:rsidRDefault="00B279AA" w:rsidP="00B279AA">
      <w:pPr>
        <w:jc w:val="both"/>
      </w:pPr>
    </w:p>
    <w:p w14:paraId="39AE1CA3" w14:textId="14F44AE1" w:rsidR="009F4B4E" w:rsidRDefault="00A33167" w:rsidP="00B279AA">
      <w:pPr>
        <w:jc w:val="both"/>
      </w:pPr>
      <w:r>
        <w:t xml:space="preserve">By using the tone interlacing, the PRACH preamble BW can be flexibly configured by the network, through factor </w:t>
      </w:r>
      <m:oMath>
        <m:r>
          <w:rPr>
            <w:rFonts w:ascii="Cambria Math" w:hAnsi="Cambria Math"/>
          </w:rPr>
          <m:t>M</m:t>
        </m:r>
      </m:oMath>
      <w:r>
        <w:t>, based on deployment as well as the regulation requirement. In addition, the tone-interlacing still preserves the time-domain characteristics of the original PRACH waveform</w:t>
      </w:r>
      <w:r w:rsidR="00AD0D6A">
        <w:t>, which allows maximal PA efficiency.</w:t>
      </w:r>
      <w:r w:rsidR="00511048">
        <w:t xml:space="preserve"> Different “comb” of the interlace can be treated as different PRACH preamble groups, and preambles within each group could still be separated through cyclic shifts, subject to delay spread constraints.</w:t>
      </w:r>
    </w:p>
    <w:p w14:paraId="56D3C332" w14:textId="77777777" w:rsidR="00511048" w:rsidRDefault="00511048" w:rsidP="00B279AA">
      <w:pPr>
        <w:jc w:val="both"/>
      </w:pPr>
    </w:p>
    <w:p w14:paraId="7AE95AEC" w14:textId="32D4F901" w:rsidR="00511048" w:rsidRDefault="00511048" w:rsidP="00B279AA">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71BAA8A6" w14:textId="77777777" w:rsidR="00511048" w:rsidRDefault="00511048" w:rsidP="00B279AA">
      <w:pPr>
        <w:jc w:val="both"/>
      </w:pPr>
    </w:p>
    <w:p w14:paraId="2D7A1812" w14:textId="0A90D7FD" w:rsidR="001027AA" w:rsidRPr="00511048" w:rsidRDefault="00511048" w:rsidP="001027AA">
      <w:pPr>
        <w:jc w:val="both"/>
      </w:pPr>
      <w:r w:rsidRPr="00511048">
        <w:rPr>
          <w:b/>
          <w:i/>
          <w:u w:val="single"/>
        </w:rPr>
        <w:t>Proposal 2</w:t>
      </w:r>
      <w:r w:rsidRPr="00511048">
        <w:rPr>
          <w:b/>
          <w:i/>
        </w:rPr>
        <w:t>: For NR unlicensed, adopt tone-interlacing on top of the existing NR PRACH preamble design</w:t>
      </w:r>
      <w:r>
        <w:t>.</w:t>
      </w:r>
    </w:p>
    <w:p w14:paraId="6D498271" w14:textId="06AA8C92" w:rsidR="006F21A8" w:rsidRDefault="00511048" w:rsidP="006A1E84">
      <w:pPr>
        <w:pStyle w:val="Heading1"/>
      </w:pPr>
      <w:r>
        <w:t>Synchronization Signals</w:t>
      </w:r>
      <w:r w:rsidR="006F21A8">
        <w:t xml:space="preserve"> </w:t>
      </w:r>
    </w:p>
    <w:p w14:paraId="5745BB8C" w14:textId="5ADA723F" w:rsidR="00984760" w:rsidRDefault="00F75F6C" w:rsidP="003E52E6">
      <w:pPr>
        <w:jc w:val="both"/>
      </w:pPr>
      <w:r>
        <w:t xml:space="preserve">NR provides a unified synchronization </w:t>
      </w:r>
      <w:r w:rsidR="00A83FE4">
        <w:t xml:space="preserve">design </w:t>
      </w:r>
      <w:r>
        <w:t xml:space="preserve">frame work for FR1 and FR2, with band dependent </w:t>
      </w:r>
      <w:r w:rsidR="00A83FE4">
        <w:t xml:space="preserve">synchronization signal blocks (SSB) configuration. </w:t>
      </w:r>
      <w:r w:rsidR="00984760">
        <w:t>Depending on the frequency band, the network will need to send multiple SSBs within a SSB burst of 5ms window. The SSB indices provide important information on system timing, as well as beam indication.</w:t>
      </w:r>
    </w:p>
    <w:p w14:paraId="3AA45C87" w14:textId="77777777" w:rsidR="00984760" w:rsidRDefault="00984760" w:rsidP="003E52E6">
      <w:pPr>
        <w:jc w:val="both"/>
      </w:pPr>
    </w:p>
    <w:p w14:paraId="4E7E85C0" w14:textId="4D0A33C8" w:rsidR="00984760" w:rsidRDefault="00984760" w:rsidP="003E52E6">
      <w:pPr>
        <w:jc w:val="both"/>
      </w:pPr>
      <w:r>
        <w:t>On the other hand, SSB transmission is subject to LBT requirement from regulations, which indicates</w:t>
      </w:r>
      <w:r w:rsidR="00A823CE">
        <w:t xml:space="preserve"> possibility that</w:t>
      </w:r>
      <w:r>
        <w:t xml:space="preserve"> </w:t>
      </w:r>
      <w:r w:rsidR="00A823CE">
        <w:t>not all SSB can be sent out at the pre-specified locations within the 5ms window. The larger the number of SSBs to be supported, the higher the probability not all of them can be transmitted.</w:t>
      </w:r>
    </w:p>
    <w:p w14:paraId="3BF8719B" w14:textId="77777777" w:rsidR="00D27E80" w:rsidRDefault="00D27E80" w:rsidP="003E52E6">
      <w:pPr>
        <w:jc w:val="both"/>
      </w:pPr>
    </w:p>
    <w:p w14:paraId="5A9ED47B" w14:textId="4809F0A4" w:rsidR="003F66D2" w:rsidRDefault="003F66D2" w:rsidP="003E52E6">
      <w:pPr>
        <w:jc w:val="both"/>
      </w:pPr>
      <w:r>
        <w:t xml:space="preserve">One way to reduce the LBT overhead and increase the chance of sending out different SSBs is to stack </w:t>
      </w:r>
      <w:r w:rsidR="00E00C1E">
        <w:t xml:space="preserve">a group of </w:t>
      </w:r>
      <w:r>
        <w:t xml:space="preserve">multiple </w:t>
      </w:r>
      <w:r w:rsidR="00E00C1E">
        <w:t>beams/</w:t>
      </w:r>
      <w:r>
        <w:t>SSBs in frequency domain and transmit them together once the channel is detected as available during one of the pre-specified SSB opportunities</w:t>
      </w:r>
      <w:r w:rsidR="00E00C1E">
        <w:t xml:space="preserve"> corresponding to the group of SSBs</w:t>
      </w:r>
      <w:r>
        <w:t xml:space="preserve">, </w:t>
      </w:r>
      <w:r w:rsidR="00BF6A64">
        <w:t>as shown in</w:t>
      </w:r>
      <w:r w:rsidR="00E00C1E">
        <w:t xml:space="preserve"> </w:t>
      </w:r>
      <w:r w:rsidR="00E00C1E">
        <w:fldChar w:fldCharType="begin"/>
      </w:r>
      <w:r w:rsidR="00E00C1E">
        <w:instrText xml:space="preserve"> REF _Ref510792193 \h </w:instrText>
      </w:r>
      <w:r w:rsidR="00E00C1E">
        <w:fldChar w:fldCharType="separate"/>
      </w:r>
      <w:r w:rsidR="00E00C1E">
        <w:t xml:space="preserve">Figure </w:t>
      </w:r>
      <w:r w:rsidR="00E00C1E">
        <w:rPr>
          <w:noProof/>
        </w:rPr>
        <w:t>4</w:t>
      </w:r>
      <w:r w:rsidR="00E00C1E">
        <w:noBreakHyphen/>
      </w:r>
      <w:r w:rsidR="00E00C1E">
        <w:rPr>
          <w:noProof/>
        </w:rPr>
        <w:t>1</w:t>
      </w:r>
      <w:r w:rsidR="00E00C1E">
        <w:fldChar w:fldCharType="end"/>
      </w:r>
      <w:r w:rsidR="00E00C1E">
        <w:t>.</w:t>
      </w:r>
    </w:p>
    <w:p w14:paraId="5C4D1FC8" w14:textId="77777777" w:rsidR="00E00C1E" w:rsidRDefault="00E00C1E" w:rsidP="003E52E6">
      <w:pPr>
        <w:jc w:val="both"/>
      </w:pPr>
    </w:p>
    <w:p w14:paraId="3C247377" w14:textId="7954025E" w:rsidR="00BF6A64" w:rsidRDefault="00BF6A64" w:rsidP="003E52E6">
      <w:pPr>
        <w:jc w:val="both"/>
      </w:pPr>
      <w:r w:rsidRPr="00BF6A64">
        <w:rPr>
          <w:noProof/>
        </w:rPr>
        <w:drawing>
          <wp:inline distT="0" distB="0" distL="0" distR="0" wp14:anchorId="26EBB72D" wp14:editId="3BDF09E5">
            <wp:extent cx="3873500" cy="283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873500" cy="2832100"/>
                    </a:xfrm>
                    <a:prstGeom prst="rect">
                      <a:avLst/>
                    </a:prstGeom>
                  </pic:spPr>
                </pic:pic>
              </a:graphicData>
            </a:graphic>
          </wp:inline>
        </w:drawing>
      </w:r>
    </w:p>
    <w:p w14:paraId="0B131F40" w14:textId="16048FB6" w:rsidR="00E00C1E" w:rsidRDefault="00E00C1E" w:rsidP="00E00C1E">
      <w:pPr>
        <w:pStyle w:val="Caption"/>
      </w:pPr>
      <w:bookmarkStart w:id="2" w:name="_Ref510792193"/>
      <w:r>
        <w:t xml:space="preserve">Figure </w:t>
      </w:r>
      <w:fldSimple w:instr=" STYLEREF 1 \s ">
        <w:r>
          <w:rPr>
            <w:noProof/>
          </w:rPr>
          <w:t>4</w:t>
        </w:r>
      </w:fldSimple>
      <w:r>
        <w:noBreakHyphen/>
      </w:r>
      <w:fldSimple w:instr=" SEQ Figure \* ARABIC \s 1 ">
        <w:r>
          <w:rPr>
            <w:noProof/>
          </w:rPr>
          <w:t>1</w:t>
        </w:r>
      </w:fldSimple>
      <w:bookmarkEnd w:id="2"/>
      <w:r>
        <w:t xml:space="preserve"> Frequency domain multiplexing of different beams</w:t>
      </w:r>
    </w:p>
    <w:p w14:paraId="6E5A2F60" w14:textId="03B6F8B0" w:rsidR="00F50FE8" w:rsidRDefault="00843E1A" w:rsidP="003E52E6">
      <w:pPr>
        <w:jc w:val="both"/>
      </w:pPr>
      <w:r>
        <w:fldChar w:fldCharType="begin"/>
      </w:r>
      <w:r>
        <w:instrText xml:space="preserve"> REF _Ref510792193 \h </w:instrText>
      </w:r>
      <w:r>
        <w:fldChar w:fldCharType="separate"/>
      </w:r>
      <w:r>
        <w:t xml:space="preserve">Figure </w:t>
      </w:r>
      <w:r>
        <w:rPr>
          <w:noProof/>
        </w:rPr>
        <w:t>4</w:t>
      </w:r>
      <w:r>
        <w:noBreakHyphen/>
      </w:r>
      <w:r>
        <w:rPr>
          <w:noProof/>
        </w:rPr>
        <w:t>1</w:t>
      </w:r>
      <w:r>
        <w:fldChar w:fldCharType="end"/>
      </w:r>
      <w:r w:rsidR="00C73F28">
        <w:t xml:space="preserve"> shows an example where </w:t>
      </w:r>
      <m:oMath>
        <m:r>
          <w:rPr>
            <w:rFonts w:ascii="Cambria Math" w:hAnsi="Cambria Math"/>
          </w:rPr>
          <m:t>K=3</m:t>
        </m:r>
      </m:oMath>
      <w:r>
        <w:t xml:space="preserve"> beams are grouped </w:t>
      </w:r>
      <w:r w:rsidR="00C73F28">
        <w:t xml:space="preserve">together, which can be sent at the same time in frequency domain (assuming that </w:t>
      </w:r>
      <w:proofErr w:type="spellStart"/>
      <w:r w:rsidR="00C73F28">
        <w:t>gNB</w:t>
      </w:r>
      <w:proofErr w:type="spellEnd"/>
      <w:r w:rsidR="00C73F28">
        <w:t xml:space="preserve"> has the capability of support </w:t>
      </w:r>
      <m:oMath>
        <m:r>
          <w:rPr>
            <w:rFonts w:ascii="Cambria Math" w:hAnsi="Cambria Math"/>
          </w:rPr>
          <m:t>K</m:t>
        </m:r>
      </m:oMath>
      <w:r w:rsidR="00C73F28">
        <w:t xml:space="preserve"> different beams simultaneously). SSB indices still carriers the timing information, similar as in licensed spectrum, but not beam indication within the group. Alternatively, the beam information within the group will be carried by the raster points of SSB that the UE can detect, and feedback of the beam information can still be indicated to the network by the corresponding RACH resource. This way, network only need to have channel availability for 1 out of </w:t>
      </w:r>
      <m:oMath>
        <m:r>
          <w:rPr>
            <w:rFonts w:ascii="Cambria Math" w:hAnsi="Cambria Math"/>
          </w:rPr>
          <m:t>K</m:t>
        </m:r>
      </m:oMath>
      <w:r w:rsidR="00C73F28">
        <w:t xml:space="preserve"> SSB locations to beam sweep </w:t>
      </w:r>
      <m:oMath>
        <m:r>
          <w:rPr>
            <w:rFonts w:ascii="Cambria Math" w:hAnsi="Cambria Math"/>
          </w:rPr>
          <m:t>K</m:t>
        </m:r>
      </m:oMath>
      <w:r w:rsidR="00C73F28">
        <w:t xml:space="preserve"> different beam directions, and the blocking probability or LBT overhead for SSB beam sweep can be reduced.</w:t>
      </w:r>
    </w:p>
    <w:p w14:paraId="1CB16904" w14:textId="77777777" w:rsidR="003E52E6" w:rsidRDefault="003E52E6" w:rsidP="008D6B29"/>
    <w:p w14:paraId="44EF2AF1" w14:textId="3D90438F" w:rsidR="00E413B2" w:rsidRPr="00C963BC" w:rsidRDefault="00C963BC" w:rsidP="008D6B29">
      <w:pPr>
        <w:rPr>
          <w:b/>
          <w:i/>
        </w:rPr>
      </w:pPr>
      <w:r w:rsidRPr="00C963BC">
        <w:rPr>
          <w:b/>
          <w:i/>
          <w:u w:val="single"/>
        </w:rPr>
        <w:t xml:space="preserve">Proposal </w:t>
      </w:r>
      <w:r w:rsidR="00C73F28">
        <w:rPr>
          <w:b/>
          <w:i/>
          <w:u w:val="single"/>
        </w:rPr>
        <w:t>3</w:t>
      </w:r>
      <w:r w:rsidRPr="00C963BC">
        <w:rPr>
          <w:b/>
          <w:i/>
        </w:rPr>
        <w:t xml:space="preserve">: </w:t>
      </w:r>
      <w:r w:rsidR="00FE3D51">
        <w:rPr>
          <w:b/>
          <w:i/>
        </w:rPr>
        <w:t>NRU to</w:t>
      </w:r>
      <w:r w:rsidRPr="00C963BC">
        <w:rPr>
          <w:b/>
          <w:i/>
        </w:rPr>
        <w:t xml:space="preserve"> support </w:t>
      </w:r>
      <w:r w:rsidR="00C73F28">
        <w:rPr>
          <w:b/>
          <w:i/>
        </w:rPr>
        <w:t>frequency domain multiplexing of multiple SSBs with different beam directions</w:t>
      </w:r>
      <w:r w:rsidRPr="00C963BC">
        <w:rPr>
          <w:b/>
          <w:i/>
        </w:rPr>
        <w:t>.</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t>Concl</w:t>
      </w:r>
      <w:r w:rsidR="009C5A97" w:rsidRPr="00FB330B">
        <w:t>usion</w:t>
      </w:r>
      <w:r w:rsidR="004424BC" w:rsidRPr="00FB330B">
        <w:t>s</w:t>
      </w:r>
    </w:p>
    <w:p w14:paraId="5DD07323" w14:textId="71ADFBAD" w:rsidR="00FE3D51" w:rsidRDefault="00FE3D51" w:rsidP="00FE3D51">
      <w:r>
        <w:t>In this contribution, we briefly discuss a few existing Rel-15 NR features that could be leveraged for NR based unlicensed access. We have the following observation and proposals:</w:t>
      </w:r>
    </w:p>
    <w:p w14:paraId="7314EBED" w14:textId="77777777" w:rsidR="00FE3D51" w:rsidRDefault="00FE3D51" w:rsidP="00FE3D51">
      <w:pPr>
        <w:rPr>
          <w:b/>
          <w:i/>
          <w:color w:val="000000" w:themeColor="text1"/>
        </w:rPr>
      </w:pPr>
      <w:bookmarkStart w:id="3" w:name="_GoBack"/>
      <w:bookmarkEnd w:id="3"/>
    </w:p>
    <w:p w14:paraId="74B89516" w14:textId="77777777" w:rsidR="00C73F28" w:rsidRDefault="00C73F28" w:rsidP="00C73F28">
      <w:pPr>
        <w:jc w:val="both"/>
      </w:pPr>
      <w:r w:rsidRPr="00511048">
        <w:rPr>
          <w:b/>
          <w:i/>
          <w:u w:val="single"/>
        </w:rPr>
        <w:t>Proposal 1</w:t>
      </w:r>
      <w:r w:rsidRPr="00511048">
        <w:rPr>
          <w:b/>
          <w:i/>
        </w:rPr>
        <w:t>: PRACH preamble design for NR unlicensed should be based on existing design with minimal changes to meet the regulation and maximal transmit power requirements</w:t>
      </w:r>
      <w:r>
        <w:t>.</w:t>
      </w:r>
    </w:p>
    <w:p w14:paraId="683C59A3" w14:textId="77777777" w:rsidR="00C73F28" w:rsidRDefault="00C73F28" w:rsidP="00C73F28">
      <w:pPr>
        <w:jc w:val="both"/>
      </w:pPr>
    </w:p>
    <w:p w14:paraId="6E47AABD" w14:textId="77777777" w:rsidR="00C73F28" w:rsidRDefault="00C73F28" w:rsidP="00C73F28">
      <w:pPr>
        <w:jc w:val="both"/>
      </w:pPr>
      <w:r w:rsidRPr="00511048">
        <w:rPr>
          <w:b/>
          <w:i/>
          <w:u w:val="single"/>
        </w:rPr>
        <w:lastRenderedPageBreak/>
        <w:t>Proposal 2</w:t>
      </w:r>
      <w:r w:rsidRPr="00511048">
        <w:rPr>
          <w:b/>
          <w:i/>
        </w:rPr>
        <w:t>: For NR unlicensed, adopt tone-interlacing on top of the existing NR PRACH preamble design</w:t>
      </w:r>
      <w:r>
        <w:t>.</w:t>
      </w:r>
    </w:p>
    <w:p w14:paraId="41061062" w14:textId="77777777" w:rsidR="00C73F28" w:rsidRDefault="00C73F28" w:rsidP="00C73F28">
      <w:pPr>
        <w:jc w:val="both"/>
      </w:pPr>
    </w:p>
    <w:p w14:paraId="3D7B5F5C" w14:textId="77777777" w:rsidR="00C73F28" w:rsidRPr="00C963BC" w:rsidRDefault="00C73F28" w:rsidP="00C73F28">
      <w:pPr>
        <w:rPr>
          <w:b/>
          <w:i/>
        </w:rPr>
      </w:pPr>
      <w:r w:rsidRPr="00C963BC">
        <w:rPr>
          <w:b/>
          <w:i/>
          <w:u w:val="single"/>
        </w:rPr>
        <w:t xml:space="preserve">Proposal </w:t>
      </w:r>
      <w:r>
        <w:rPr>
          <w:b/>
          <w:i/>
          <w:u w:val="single"/>
        </w:rPr>
        <w:t>3</w:t>
      </w:r>
      <w:r w:rsidRPr="00C963BC">
        <w:rPr>
          <w:b/>
          <w:i/>
        </w:rPr>
        <w:t xml:space="preserve">: </w:t>
      </w:r>
      <w:r>
        <w:rPr>
          <w:b/>
          <w:i/>
        </w:rPr>
        <w:t>NRU to</w:t>
      </w:r>
      <w:r w:rsidRPr="00C963BC">
        <w:rPr>
          <w:b/>
          <w:i/>
        </w:rPr>
        <w:t xml:space="preserve"> support </w:t>
      </w:r>
      <w:r>
        <w:rPr>
          <w:b/>
          <w:i/>
        </w:rPr>
        <w:t>frequency domain multiplexing of multiple SSBs with different beam directions</w:t>
      </w:r>
      <w:r w:rsidRPr="00C963BC">
        <w:rPr>
          <w:b/>
          <w:i/>
        </w:rPr>
        <w:t>.</w:t>
      </w:r>
    </w:p>
    <w:p w14:paraId="6D068700" w14:textId="77777777" w:rsidR="00CD4074" w:rsidRDefault="00CD4074" w:rsidP="0005407B">
      <w:pPr>
        <w:jc w:val="both"/>
        <w:rPr>
          <w:b/>
          <w:sz w:val="20"/>
          <w:szCs w:val="20"/>
        </w:rPr>
      </w:pPr>
    </w:p>
    <w:p w14:paraId="7716D850" w14:textId="47F291FA" w:rsidR="003E0F30" w:rsidRDefault="005C63AE" w:rsidP="00920B5C">
      <w:pPr>
        <w:pStyle w:val="Heading1"/>
      </w:pPr>
      <w:r>
        <w:t>References</w:t>
      </w:r>
    </w:p>
    <w:p w14:paraId="217E5F97" w14:textId="0CF2AB2B" w:rsidR="00280537" w:rsidRPr="006C3EA8"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4" w:name="_Ref506552387"/>
      <w:r>
        <w:rPr>
          <w:sz w:val="20"/>
          <w:szCs w:val="20"/>
        </w:rPr>
        <w:t xml:space="preserve">RP-172021, “Revised SID on NR-based Access to Unlicensed Spectrum”, </w:t>
      </w:r>
      <w:r w:rsidR="00AF7E04">
        <w:rPr>
          <w:sz w:val="20"/>
          <w:szCs w:val="20"/>
        </w:rPr>
        <w:t>3GPP RAN</w:t>
      </w:r>
      <w:r>
        <w:rPr>
          <w:sz w:val="20"/>
          <w:szCs w:val="20"/>
        </w:rPr>
        <w:t xml:space="preserve"> #77</w:t>
      </w:r>
      <w:r w:rsidR="00FF42E9" w:rsidRPr="0015118E">
        <w:rPr>
          <w:sz w:val="20"/>
          <w:szCs w:val="20"/>
        </w:rPr>
        <w:t xml:space="preserve">, </w:t>
      </w:r>
      <w:r>
        <w:rPr>
          <w:sz w:val="20"/>
        </w:rPr>
        <w:t>Sapporo</w:t>
      </w:r>
      <w:r w:rsidR="009948B6" w:rsidRPr="000B1042">
        <w:rPr>
          <w:sz w:val="20"/>
        </w:rPr>
        <w:t>,</w:t>
      </w:r>
      <w:r>
        <w:rPr>
          <w:sz w:val="20"/>
        </w:rPr>
        <w:t xml:space="preserve"> Japan</w:t>
      </w:r>
      <w:r w:rsidR="009948B6" w:rsidRPr="000B1042">
        <w:rPr>
          <w:sz w:val="20"/>
        </w:rPr>
        <w:t xml:space="preserve">, </w:t>
      </w:r>
      <w:r>
        <w:rPr>
          <w:sz w:val="20"/>
        </w:rPr>
        <w:t>11</w:t>
      </w:r>
      <w:r>
        <w:rPr>
          <w:sz w:val="20"/>
          <w:vertAlign w:val="superscript"/>
        </w:rPr>
        <w:t>th</w:t>
      </w:r>
      <w:r w:rsidR="009948B6">
        <w:rPr>
          <w:sz w:val="20"/>
        </w:rPr>
        <w:t xml:space="preserve"> </w:t>
      </w:r>
      <w:r w:rsidR="009948B6" w:rsidRPr="000B1042">
        <w:rPr>
          <w:sz w:val="20"/>
        </w:rPr>
        <w:t xml:space="preserve">– </w:t>
      </w:r>
      <w:r>
        <w:rPr>
          <w:sz w:val="20"/>
        </w:rPr>
        <w:t>14</w:t>
      </w:r>
      <w:r w:rsidR="009948B6" w:rsidRPr="000B1042">
        <w:rPr>
          <w:sz w:val="20"/>
          <w:vertAlign w:val="superscript"/>
        </w:rPr>
        <w:t>th</w:t>
      </w:r>
      <w:r w:rsidR="009948B6" w:rsidRPr="000B1042">
        <w:rPr>
          <w:sz w:val="20"/>
        </w:rPr>
        <w:t xml:space="preserve"> </w:t>
      </w:r>
      <w:r>
        <w:rPr>
          <w:sz w:val="20"/>
        </w:rPr>
        <w:t>September 2017.</w:t>
      </w:r>
      <w:bookmarkEnd w:id="4"/>
    </w:p>
    <w:p w14:paraId="3D7A8FD4" w14:textId="5CB3FD54" w:rsidR="006C3EA8" w:rsidRPr="00D533ED" w:rsidRDefault="000D313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5" w:name="_Ref513812566"/>
      <w:r>
        <w:rPr>
          <w:sz w:val="20"/>
        </w:rPr>
        <w:t xml:space="preserve">“Chairman’s notes RAN1 92bis final”, 3GPP RAN1 #92bis, </w:t>
      </w:r>
      <w:proofErr w:type="spellStart"/>
      <w:r>
        <w:rPr>
          <w:sz w:val="20"/>
        </w:rPr>
        <w:t>Sanya</w:t>
      </w:r>
      <w:proofErr w:type="spellEnd"/>
      <w:r>
        <w:rPr>
          <w:sz w:val="20"/>
        </w:rPr>
        <w:t>, China, 16</w:t>
      </w:r>
      <w:r w:rsidRPr="000D3138">
        <w:rPr>
          <w:sz w:val="20"/>
          <w:vertAlign w:val="superscript"/>
        </w:rPr>
        <w:t>th</w:t>
      </w:r>
      <w:r>
        <w:rPr>
          <w:sz w:val="20"/>
        </w:rPr>
        <w:t xml:space="preserve"> – 20</w:t>
      </w:r>
      <w:r w:rsidRPr="000D3138">
        <w:rPr>
          <w:sz w:val="20"/>
          <w:vertAlign w:val="superscript"/>
        </w:rPr>
        <w:t>th</w:t>
      </w:r>
      <w:r>
        <w:rPr>
          <w:sz w:val="20"/>
        </w:rPr>
        <w:t>, April, 2018.</w:t>
      </w:r>
      <w:bookmarkEnd w:id="5"/>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06468726"/>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6"/>
    </w:p>
    <w:p w14:paraId="7151BA9A" w14:textId="14082DBB"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06468732"/>
      <w:r>
        <w:rPr>
          <w:sz w:val="20"/>
          <w:szCs w:val="20"/>
        </w:rPr>
        <w:t>ETSI EN 302 567, “Multiple-Gigabit radio equipment operating in the 60GHz band”</w:t>
      </w:r>
      <w:bookmarkEnd w:id="7"/>
    </w:p>
    <w:p w14:paraId="52B057DE" w14:textId="4327390A" w:rsidR="00E00C1E" w:rsidRDefault="00E00C1E"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8" w:name="_Ref510792798"/>
      <w:r>
        <w:rPr>
          <w:sz w:val="20"/>
          <w:szCs w:val="20"/>
        </w:rPr>
        <w:t>R1-1804769, “NR unlicensed considerations”, Apple Inc., 3GPP RAN1 #</w:t>
      </w:r>
      <w:r w:rsidR="00D800F3">
        <w:rPr>
          <w:sz w:val="20"/>
          <w:szCs w:val="20"/>
        </w:rPr>
        <w:t xml:space="preserve">92bis, </w:t>
      </w:r>
      <w:proofErr w:type="spellStart"/>
      <w:r w:rsidR="00D800F3">
        <w:rPr>
          <w:sz w:val="20"/>
          <w:szCs w:val="20"/>
        </w:rPr>
        <w:t>Sanya</w:t>
      </w:r>
      <w:proofErr w:type="spellEnd"/>
      <w:r w:rsidR="00D800F3">
        <w:rPr>
          <w:sz w:val="20"/>
          <w:szCs w:val="20"/>
        </w:rPr>
        <w:t>, China, 16</w:t>
      </w:r>
      <w:r w:rsidR="00D800F3" w:rsidRPr="00D800F3">
        <w:rPr>
          <w:sz w:val="20"/>
          <w:szCs w:val="20"/>
          <w:vertAlign w:val="superscript"/>
        </w:rPr>
        <w:t>th</w:t>
      </w:r>
      <w:r w:rsidR="00D800F3">
        <w:rPr>
          <w:sz w:val="20"/>
          <w:szCs w:val="20"/>
        </w:rPr>
        <w:t xml:space="preserve"> – 20</w:t>
      </w:r>
      <w:r w:rsidR="00D800F3" w:rsidRPr="00D800F3">
        <w:rPr>
          <w:sz w:val="20"/>
          <w:szCs w:val="20"/>
          <w:vertAlign w:val="superscript"/>
        </w:rPr>
        <w:t>th</w:t>
      </w:r>
      <w:r w:rsidR="00D800F3">
        <w:rPr>
          <w:sz w:val="20"/>
          <w:szCs w:val="20"/>
        </w:rPr>
        <w:t>, April, 2018.</w:t>
      </w:r>
      <w:bookmarkEnd w:id="8"/>
    </w:p>
    <w:p w14:paraId="73140E2C" w14:textId="7FBC4E48" w:rsidR="00B00240" w:rsidRPr="00BB67D8" w:rsidRDefault="00B00240" w:rsidP="00C963BC">
      <w:pPr>
        <w:overflowPunct w:val="0"/>
        <w:autoSpaceDE w:val="0"/>
        <w:autoSpaceDN w:val="0"/>
        <w:adjustRightInd w:val="0"/>
        <w:spacing w:before="100" w:beforeAutospacing="1" w:after="100" w:afterAutospacing="1"/>
        <w:ind w:left="562"/>
        <w:textAlignment w:val="baseline"/>
        <w:rPr>
          <w:sz w:val="20"/>
          <w:szCs w:val="20"/>
        </w:rPr>
      </w:pPr>
    </w:p>
    <w:sectPr w:rsidR="00B00240" w:rsidRPr="00BB67D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E0447" w14:textId="77777777" w:rsidR="000A3659" w:rsidRDefault="000A3659">
      <w:r>
        <w:separator/>
      </w:r>
    </w:p>
  </w:endnote>
  <w:endnote w:type="continuationSeparator" w:id="0">
    <w:p w14:paraId="156DE09D" w14:textId="77777777" w:rsidR="000A3659" w:rsidRDefault="000A3659">
      <w:r>
        <w:continuationSeparator/>
      </w:r>
    </w:p>
  </w:endnote>
  <w:endnote w:type="continuationNotice" w:id="1">
    <w:p w14:paraId="69006B78" w14:textId="77777777" w:rsidR="000A3659" w:rsidRDefault="000A36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5A51F" w14:textId="77777777" w:rsidR="000A3659" w:rsidRDefault="000A3659">
      <w:r>
        <w:separator/>
      </w:r>
    </w:p>
  </w:footnote>
  <w:footnote w:type="continuationSeparator" w:id="0">
    <w:p w14:paraId="3BFC8731" w14:textId="77777777" w:rsidR="000A3659" w:rsidRDefault="000A3659">
      <w:r>
        <w:continuationSeparator/>
      </w:r>
    </w:p>
  </w:footnote>
  <w:footnote w:type="continuationNotice" w:id="1">
    <w:p w14:paraId="309009D3" w14:textId="77777777" w:rsidR="000A3659" w:rsidRDefault="000A36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1"/>
  </w:num>
  <w:num w:numId="6">
    <w:abstractNumId w:val="18"/>
  </w:num>
  <w:num w:numId="7">
    <w:abstractNumId w:val="25"/>
  </w:num>
  <w:num w:numId="8">
    <w:abstractNumId w:val="12"/>
  </w:num>
  <w:num w:numId="9">
    <w:abstractNumId w:val="22"/>
  </w:num>
  <w:num w:numId="10">
    <w:abstractNumId w:val="14"/>
  </w:num>
  <w:num w:numId="11">
    <w:abstractNumId w:val="13"/>
  </w:num>
  <w:num w:numId="12">
    <w:abstractNumId w:val="26"/>
  </w:num>
  <w:num w:numId="13">
    <w:abstractNumId w:val="8"/>
  </w:num>
  <w:num w:numId="14">
    <w:abstractNumId w:val="1"/>
  </w:num>
  <w:num w:numId="15">
    <w:abstractNumId w:val="5"/>
  </w:num>
  <w:num w:numId="16">
    <w:abstractNumId w:val="28"/>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0"/>
  </w:num>
  <w:num w:numId="23">
    <w:abstractNumId w:val="27"/>
  </w:num>
  <w:num w:numId="24">
    <w:abstractNumId w:val="6"/>
  </w:num>
  <w:num w:numId="25">
    <w:abstractNumId w:val="15"/>
  </w:num>
  <w:num w:numId="26">
    <w:abstractNumId w:val="24"/>
  </w:num>
  <w:num w:numId="27">
    <w:abstractNumId w:val="2"/>
  </w:num>
  <w:num w:numId="28">
    <w:abstractNumId w:val="10"/>
  </w:num>
  <w:num w:numId="29">
    <w:abstractNumId w:val="9"/>
  </w:num>
  <w:num w:numId="30">
    <w:abstractNumId w:val="23"/>
  </w:num>
  <w:num w:numId="31">
    <w:abstractNumId w:val="7"/>
  </w:num>
  <w:num w:numId="32">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2F9D"/>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3FD"/>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3659"/>
    <w:rsid w:val="000A4016"/>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3138"/>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1C67"/>
    <w:rsid w:val="000F2053"/>
    <w:rsid w:val="000F3BE9"/>
    <w:rsid w:val="000F3F6C"/>
    <w:rsid w:val="000F4E73"/>
    <w:rsid w:val="000F63FD"/>
    <w:rsid w:val="000F6DA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2D32"/>
    <w:rsid w:val="001B4453"/>
    <w:rsid w:val="001B49EC"/>
    <w:rsid w:val="001B52BA"/>
    <w:rsid w:val="001B59DA"/>
    <w:rsid w:val="001B5A5D"/>
    <w:rsid w:val="001B612E"/>
    <w:rsid w:val="001B625A"/>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822"/>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8A2"/>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1A0"/>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4D4D"/>
    <w:rsid w:val="0027544A"/>
    <w:rsid w:val="00275549"/>
    <w:rsid w:val="0027586B"/>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A1A"/>
    <w:rsid w:val="00376B9D"/>
    <w:rsid w:val="00377CE1"/>
    <w:rsid w:val="003807F1"/>
    <w:rsid w:val="00380D0E"/>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5F63"/>
    <w:rsid w:val="003D606C"/>
    <w:rsid w:val="003D6556"/>
    <w:rsid w:val="003D761D"/>
    <w:rsid w:val="003D7A2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2D64"/>
    <w:rsid w:val="003F3103"/>
    <w:rsid w:val="003F4198"/>
    <w:rsid w:val="003F41C6"/>
    <w:rsid w:val="003F43C0"/>
    <w:rsid w:val="003F5328"/>
    <w:rsid w:val="003F633D"/>
    <w:rsid w:val="003F66D2"/>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A3"/>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68A"/>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04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6DBE"/>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5CD9"/>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3A8"/>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3EA8"/>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6E18"/>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593"/>
    <w:rsid w:val="007217B4"/>
    <w:rsid w:val="00722405"/>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4A81"/>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5A5"/>
    <w:rsid w:val="007F1713"/>
    <w:rsid w:val="007F3056"/>
    <w:rsid w:val="007F30B7"/>
    <w:rsid w:val="007F31D4"/>
    <w:rsid w:val="007F3AD7"/>
    <w:rsid w:val="007F469E"/>
    <w:rsid w:val="007F49C8"/>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3E1A"/>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5BD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CE0"/>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760"/>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1F3"/>
    <w:rsid w:val="009E76EE"/>
    <w:rsid w:val="009E78E7"/>
    <w:rsid w:val="009E7E2D"/>
    <w:rsid w:val="009F08F3"/>
    <w:rsid w:val="009F0EBC"/>
    <w:rsid w:val="009F0ED5"/>
    <w:rsid w:val="009F0F28"/>
    <w:rsid w:val="009F1A60"/>
    <w:rsid w:val="009F2069"/>
    <w:rsid w:val="009F2B8D"/>
    <w:rsid w:val="009F344F"/>
    <w:rsid w:val="009F390C"/>
    <w:rsid w:val="009F427D"/>
    <w:rsid w:val="009F4B4E"/>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1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23CE"/>
    <w:rsid w:val="00A83FE4"/>
    <w:rsid w:val="00A855D4"/>
    <w:rsid w:val="00A862D4"/>
    <w:rsid w:val="00A90CFA"/>
    <w:rsid w:val="00A9136F"/>
    <w:rsid w:val="00A91F1F"/>
    <w:rsid w:val="00A91F87"/>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0D6A"/>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32DD"/>
    <w:rsid w:val="00AF345A"/>
    <w:rsid w:val="00AF3629"/>
    <w:rsid w:val="00AF3AF2"/>
    <w:rsid w:val="00AF3D10"/>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17"/>
    <w:rsid w:val="00B23AE8"/>
    <w:rsid w:val="00B23CC2"/>
    <w:rsid w:val="00B2712A"/>
    <w:rsid w:val="00B2763F"/>
    <w:rsid w:val="00B27853"/>
    <w:rsid w:val="00B279AA"/>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0DD"/>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6D9F"/>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6A64"/>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6A28"/>
    <w:rsid w:val="00C57D72"/>
    <w:rsid w:val="00C57EF3"/>
    <w:rsid w:val="00C603E2"/>
    <w:rsid w:val="00C6047A"/>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0F9"/>
    <w:rsid w:val="00C662E2"/>
    <w:rsid w:val="00C67803"/>
    <w:rsid w:val="00C7057C"/>
    <w:rsid w:val="00C70697"/>
    <w:rsid w:val="00C72EF4"/>
    <w:rsid w:val="00C73F28"/>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B3A"/>
    <w:rsid w:val="00CB3BBF"/>
    <w:rsid w:val="00CB40A6"/>
    <w:rsid w:val="00CB43B7"/>
    <w:rsid w:val="00CB46CA"/>
    <w:rsid w:val="00CB4A54"/>
    <w:rsid w:val="00CB4D66"/>
    <w:rsid w:val="00CB59E0"/>
    <w:rsid w:val="00CB61EF"/>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ADC"/>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E8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630"/>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84F"/>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4F31"/>
    <w:rsid w:val="00D7751A"/>
    <w:rsid w:val="00D777E0"/>
    <w:rsid w:val="00D77B1D"/>
    <w:rsid w:val="00D77FDA"/>
    <w:rsid w:val="00D800F3"/>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502F"/>
    <w:rsid w:val="00DF6056"/>
    <w:rsid w:val="00DF7559"/>
    <w:rsid w:val="00E006FD"/>
    <w:rsid w:val="00E00C1E"/>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37CC2"/>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5D3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120"/>
    <w:rsid w:val="00F326AF"/>
    <w:rsid w:val="00F32B20"/>
    <w:rsid w:val="00F32D6C"/>
    <w:rsid w:val="00F33113"/>
    <w:rsid w:val="00F33232"/>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5F6C"/>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5163945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455CB-C02F-7A4D-8021-CB188BC2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21</TotalTime>
  <Pages>5</Pages>
  <Words>1511</Words>
  <Characters>8615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10106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Microsoft Office User</cp:lastModifiedBy>
  <cp:revision>4</cp:revision>
  <cp:lastPrinted>2008-01-31T16:09:00Z</cp:lastPrinted>
  <dcterms:created xsi:type="dcterms:W3CDTF">2018-04-06T23:09:00Z</dcterms:created>
  <dcterms:modified xsi:type="dcterms:W3CDTF">2018-05-11T22:05:00Z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